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napToGrid w:val="0"/>
      </w:pPr>
      <w:r>
        <w:rPr>
          <w:rFonts w:ascii="Arial Unicode MS" w:hAnsi="Arial Unicode MS" w:eastAsia="Arial Unicode MS" w:cs="Arial Unicode MS"/>
        </w:rPr>
        <w:t>物业管理系统使用说明书</w:t>
      </w:r>
    </w:p>
    <w:p>
      <w:pPr>
        <w:pStyle w:val="Subtitle"/>
        <w:snapToGrid w:val="0"/>
      </w:pPr>
      <w:r>
        <w:rPr>
          <w:rFonts w:ascii="Arial Unicode MS" w:hAnsi="Arial Unicode MS" w:eastAsia="Arial Unicode MS" w:cs="Arial Unicode MS"/>
        </w:rPr>
        <w:t>物业公司与小区管理人员电脑端操作指南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适用客户端 1.1.0    编制日期 2026年9月25日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本说明书帮助物业公司管理人员、物业经理、物业管理员和前台客服完成登录、公司概况查看、房屋建档、住户审核、收费登记与报修处理。登录后直接办理业务，无需选择本地或云端，也无需手动同步。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一 先确认自己的账号身份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257"/>
      </w:tblGrid>
      <w:tr>
        <w:trPr>
          <w:tblHeader/>
          <w:cantSplit/>
        </w:trPr>
        <w:tc>
          <w:tcPr>
            <w:tcW w:type="dxa" w:w="22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FF3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/>
                <w:sz w:val="19"/>
              </w:rPr>
              <w:t>账号身份</w:t>
            </w:r>
          </w:p>
        </w:tc>
        <w:tc>
          <w:tcPr>
            <w:tcW w:type="dxa" w:w="72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FF3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/>
                <w:sz w:val="19"/>
              </w:rPr>
              <w:t>主要用途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物业公司管理人员</w:t>
            </w:r>
          </w:p>
        </w:tc>
        <w:tc>
          <w:tcPr>
            <w:tcW w:type="dxa" w:w="72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查看本公司全部小区的概况、工单数量和收费汇总。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物业经理</w:t>
            </w:r>
          </w:p>
        </w:tc>
        <w:tc>
          <w:tcPr>
            <w:tcW w:type="dxa" w:w="72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管理绑定小区的日常业务、人员、收费规则和经营统计。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物业管理员</w:t>
            </w:r>
          </w:p>
        </w:tc>
        <w:tc>
          <w:tcPr>
            <w:tcW w:type="dxa" w:w="72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办理本小区住户审核、报修、公告、投诉及授权业务。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物业前台客服</w:t>
            </w:r>
          </w:p>
        </w:tc>
        <w:tc>
          <w:tcPr>
            <w:tcW w:type="dxa" w:w="72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登记已收款项、报修受理与派单、日常住户审核及服务。</w:t>
            </w:r>
          </w:p>
        </w:tc>
      </w:tr>
    </w:tbl>
    <w:p>
      <w:pPr>
        <w:snapToGrid w:val="0"/>
      </w:pP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二 首次使用只需四步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1．安装“物业管理系统”电脑端 1.1.0，双击桌面图标。适用于 Windows 10 或 Windows 11 的64位电脑。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2．输入管理员交付的账号与密码。若系统要求首次改密，请按页面提示完成；本说明书不包含任何账号密码。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3．核对右上角姓名、角色和当前公司或小区，确认进入正确的工作范围。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4．从左侧菜单进入需要办理的业务。提交后以成功提示、最新列表及详情记录为准。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三 阅读顺序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第2页 公司工作台与账号问题；第3页 房屋与住户审核；第4页 收费准备与旧账导入；第5页 实际收款与账单下发；第6页 报修和社区服务；第7页 居民端协作及待启用功能；第8页 网络提示与常见问题。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版本说明：电脑端更新不等于服务器功能更新。居民注册新流程、6位纯数字密码及二手闲置功能已在本地新版完成，线上服务器尚未同步；对应操作需上线后使用，详见第7页。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br w:type="page"/>
      </w:r>
    </w:p>
    <w:p>
      <w:pPr>
        <w:pStyle w:val="Heading1"/>
        <w:snapToGrid w:val="0"/>
      </w:pPr>
      <w:r>
        <w:rPr>
          <w:rFonts w:ascii="Arial Unicode MS" w:hAnsi="Arial Unicode MS" w:eastAsia="Arial Unicode MS" w:cs="Arial Unicode MS"/>
        </w:rPr>
        <w:t>一 公司工作台与登录管理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1 安装和进入系统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安装文件名为 Naneng-Property-Setup-1.1.0-x64.exe，也可能显示为“物业管理系统-电脑端1.1.0.exe”。关闭旧客户端后运行新版安装器，按向导完成安装。升级时保留原数据，不要自行清空程序数据目录。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电脑端已固定连接物业服务，无需填写服务器地址。网页物业入口为 https://fuwu.nanengyun.com/property/login。物业后台和平台运营后台使用不同入口，电脑端不提供运营后台切换按钮。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2 公司管理人员查看全部小区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1．登录公司管理人员账号，进入“公司驾驶舱”，查看服务小区数、房屋数、居民数和待处理工单数量。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2．打开“小区总览”，按行核对小区名称、地址和授权状态；区域资料不完整时，有权限的人员可点击“设置区域”补充。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3．打开“工单汇总”，查看待处理、处理中、已完成及投诉待跟进数量。具体工单由对应小区人员办理，公司页面不提供单个工单处理。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4．打开“收费汇总”或“经营分析”查看当前开放的公司级统计。现有“收费汇总”主要展示整体缴费率；住户应收和收款凭证明细需由小区账号在“账单缴费”查询，不把汇总页当作住户账务明细。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3 账号开通与使用权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公司首次开户、增加小区、开通管理人员账号、调整使用期限或功能，由有权限的运营管理人员在运营后台办理。公司员工不需要在电脑端自行选择数据库或建立本地账号。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忘记密码时联系账号管理员重置；系统不能显示原密码。账号停用、公司授权到期或功能未开通时，应联系管理员处理，重新安装客户端不会恢复授权。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4 切换人员和结束工作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多人共用电脑时，先点击“退出登录”或“退出当前后台”，再由下一位人员登录自己的账号。离岗前退出登录，不要把个人密码交给其他人员共用。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页面中看不到某个菜单通常与角色、所属小区或公司授权有关。公司账号看到公司汇总，小区账号办理绑定小区的业务；页面不会让用户在两个数据来源之间选择。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br w:type="page"/>
      </w:r>
    </w:p>
    <w:p>
      <w:pPr>
        <w:pStyle w:val="Heading1"/>
        <w:snapToGrid w:val="0"/>
      </w:pPr>
      <w:r>
        <w:rPr>
          <w:rFonts w:ascii="Arial Unicode MS" w:hAnsi="Arial Unicode MS" w:eastAsia="Arial Unicode MS" w:cs="Arial Unicode MS"/>
        </w:rPr>
        <w:t>二 房屋建档与住户审核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1 按楼栋快速生成房号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1．用有房屋结构管理权限的账号进入“房屋管理”，打开“按楼栋生成房号”。前台客服可维护联系人，但不能新增或批量导入房屋。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2．填写楼栋编号、单元数量、起始单元、起始楼层、楼层数和每单元每层户数；个别单元不同可单独调整。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3．选择房号格式并生成预览。101通常表示1楼第1户；不同单元允许同号，但同一房屋不能重复建档。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4．按每个单元的标准层填写各户面积。例如第01户面积适用于101、201、301等对应户；每个单元独立设置。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5．在全部房号预览中手动修正特殊户面积，检查冲突提示及户数，再点击“保存房屋”。面积会用于后续按平方米计费。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2 用模板导入已有房屋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打开“房号批量导入” → 下载 Excel 模板 → 填写楼栋、单元、房号和面积 → 上传检查 → 修正错误行 → 确认导入。每批最多500套、文件不超过512KB；编号保留文本格式，避免0101变成101。面积留空会按0保存，正式计费前应补齐。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3 维护业主与租户资料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房屋可登记最多两位业主姓名及联系电话，租户联系方式单独维护。业主资料可来自住户申请审核，也可由管理人员手工补录。登记租户电话时默认按出租识别；没有租户电话时，已验证业主默认自用，未验证默认空置。需要特殊调整时按页面权限维护状态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4 居民审核单独办理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1．进入“居民审核”；前台对应入口为“住户审核”。按待审核记录核对姓名、联系电话、住户身份与完整房号。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2．资料符合实际情况时点击通过；资料不符时驳回并写清需补充或修正的内容，居民修改后重新提交。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3．审核完成后检查记录状态及房屋对应关系。房屋已建档不代表申请人已通过审核，维护联系人也不等于授予居民访问权限。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核验时以“楼栋＋单元＋房号”定位，避免将不同楼栋的101室混淆。冻结既有认证属于管理权限，前台客服不能代办。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br w:type="page"/>
      </w:r>
    </w:p>
    <w:p>
      <w:pPr>
        <w:pStyle w:val="Heading1"/>
        <w:snapToGrid w:val="0"/>
      </w:pPr>
      <w:r>
        <w:rPr>
          <w:rFonts w:ascii="Arial Unicode MS" w:hAnsi="Arial Unicode MS" w:eastAsia="Arial Unicode MS" w:cs="Arial Unicode MS"/>
        </w:rPr>
        <w:t>三 收费规则与历史账务准备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1 开单前先核对基础资料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进入“账单缴费”，确认当前小区、房屋完整房号、建筑面积、登记业主和收费月份。按平方米收费依赖面积，面积为0或不正确时，应先补正再生成账单。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2 配置收费规则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1．有权限的经理或管理员点击“收费规则配置”，按实际收费项目填写单价、计费方式和需要的其他费用。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2．物业费按面积及适用单价计算；垃圾处理费、水费等按已填写并启用的项目计入。未填写的可选收费项目不应收取。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3．保存规则后使用“按房屋自动计费”，选择相应范围与周期，核对预览，再生成账单。规则修改后仍需核对已存在的账单，不把改规则当作已改账单。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计算示例仅用于理解：100平方米 × 2元／平方米＝200元物业费；另加20元垃圾处理费、30元水费，本期合计250元。实际单价、金额与周期按物业已确认的规则填写。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3 导入水费或其他原始费用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在“水费导入／接口”按页面模板填写房号、周期和费用资料，上传后逐行核对，确认后再计费。第三方接口接收的批次同样需物业核对，不能把保存接口参数当作已开始自动抄表。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4 导入原有缴费信息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1．点击“导入原有缴费信息”，下载缴费信息模板。每行对应一套房屋、一个收费月份、一个收费项目。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2．填写应收、累计已收、原账单编号、原收款凭证及模板要求的信息。历史多笔收款按累计已收导入，并保留最近缴费日期及备注。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3．上传并检查。系统会核对已有房屋、金额及重复记录；有错误时先修改文件再上传。每批最多500行，文件不超过512KB。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4．确认导入后按房号查询，抽查应收、已收和欠费。导入不会覆盖已有账单，不要为了“重来一次”重复导入同一历史账。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准备确认前，先核对是否把同一期间的物业费、水费或停车费重复计入。前台客服负责收费办理，收费规则、批量计费和账务导入由有权限的管理人员完成。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br w:type="page"/>
      </w:r>
    </w:p>
    <w:p>
      <w:pPr>
        <w:pStyle w:val="Heading1"/>
        <w:snapToGrid w:val="0"/>
      </w:pPr>
      <w:r>
        <w:rPr>
          <w:rFonts w:ascii="Arial Unicode MS" w:hAnsi="Arial Unicode MS" w:eastAsia="Arial Unicode MS" w:cs="Arial Unicode MS"/>
        </w:rPr>
        <w:t>四 收款登记与账单下发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1 查询住户应收清单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1．进入“账单缴费”；前台入口为“收费办理”。在“房号／完整房屋”输入完整房号，可配合业主姓名、收费月份和缴费状态筛选。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2．点击“查询应收清单”，核对应收合计、已收合计、欠费合计和待缴账单数量。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3．查看清单中的“登记业主”，可显示两位业主姓名；未维护时显示未登记。点击“费用明细”确认计费项目与金额。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2 登记实际已经收到的款项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1．先确认资金确实到账，再在对应账单点击“登记线下收款”。这项操作只登记账，不会从居民账户扣款。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2．填写“实际收到金额”和“收款凭证编号”。凭证应能对应实际收款，不能随意重复使用；本次金额不得超过剩余应收。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3．提交成功后检查状态：未收完为“部分缴费”，全部收齐为“已缴费”；欠费金额应随之减少。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4．打开“缴费记录”，核对金额、凭证、登记人和登记时间；与实际收款记录对应后再结束办理。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示例：应收250元，实际先收到100元，只登记100元，剩余150元；后续收到150元再登记另一笔凭证。不能提前标注全额已缴。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3 将账单下发给居民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金额确认无误后，可点击单条“下发小程序”；批量办理时先按房号、月份等筛选，再点击“下发当前清单”，检查范围后确认。居民通过相应房屋认证后，在已启用的居民客户端查看账单及缴费状态。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“已下发”表示账单在居民列表可见，不等于微信通知已经推送。“详情已读”是居民打开账单详情的记录，也不等于已经付款。线上支付尚未接入时，应继续按实际到账办理线下登记。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4 异常处理与每日核对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提交后断网或未看到结果：先恢复网络并查询该账单的“缴费记录”，确认是否已有本次凭证，再决定后续操作，避免重复登记。金额或房号错误：交由有权限的人员核查，不能再新增一笔相反金额抵消。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每日结束前核对收费月份、实收金额、收款凭证和未结清住户；需要导出时使用“导出全部账单 CSV”。该按钮导出全部有权查看的账单，不应误认为仅导出当前筛选结果。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br w:type="page"/>
      </w:r>
    </w:p>
    <w:p>
      <w:pPr>
        <w:pStyle w:val="Heading1"/>
        <w:snapToGrid w:val="0"/>
      </w:pPr>
      <w:r>
        <w:rPr>
          <w:rFonts w:ascii="Arial Unicode MS" w:hAnsi="Arial Unicode MS" w:eastAsia="Arial Unicode MS" w:cs="Arial Unicode MS"/>
        </w:rPr>
        <w:t>五 报修处理与日常服务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1 报修闭环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标准处理顺序：待受理 → 已受理 → 已派单 → 处理中 → 待确认 → 已完成。维修结束与居民确认是不同环节。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1．居民提交报修，或物业人员通过“创建工单”代登记。核对房号、问题描述、优先级和可联系人员。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2．小区物业在“工单中心”受理待办；前台可在“报修服务”办理受理与派单。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3．派给当前小区的合格工作人员。工作人员在自己的客户端接单、到场、记录维修过程、材料和费用。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4．维修完成后提交居民确认，物业查看处理记录；居民确认后工单完成，并可评价。物业不能把尚未完成的维修直接当作已验收。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5．工作人员标记无法处理时，由小区物业查看原因并重新派单。公司管理人员关注汇总，具体处理仍在所属小区。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2 公告与投诉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公告：进入“公告管理”或前台的“公告与投诉”，核对标题、正文和适用小区后发布；内容有误时使用修改或撤回。发布前再次核对停水、停电等时间和影响范围。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投诉：查看居民反馈及记录，先受理，再填写处理回复并推进状态；确认实际问题已处理后才标记完成。回复应写清采取了什么措施和结果，不能只填“已处理”代替事实说明。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3 支出与维修统计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有权限的人员在左侧菜单末尾进入“支出与维修统计”，登记已发生的支出，填写实际支出日期、类别、金额、收款方和凭证，可关联维修工单。此操作不发起转账。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维修记录中的估算或登记费用与真实支出台账不是同一口径；查看汇总时按页面说明核对，不把关联维修费用再次叠加。填写错误的支出按权限作废后重新登记，并保留可追溯凭证。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4 员工与权限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员工审核、停用和管理设置由管理角色处理。前台客服只能办理已授权的收费、服务及日常审核，不能调整公司使用权、员工权限、支付或硬件接口。菜单不可见时先核对角色，不要借用其他人的账号绕过权限。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br w:type="page"/>
      </w:r>
    </w:p>
    <w:p>
      <w:pPr>
        <w:pStyle w:val="Heading1"/>
        <w:snapToGrid w:val="0"/>
      </w:pPr>
      <w:r>
        <w:rPr>
          <w:rFonts w:ascii="Arial Unicode MS" w:hAnsi="Arial Unicode MS" w:eastAsia="Arial Unicode MS" w:cs="Arial Unicode MS"/>
        </w:rPr>
        <w:t>六 居民端协作与新增功能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本页说明新版客户端的协作方式。居民注册新流程、6位纯数字密码和二手闲置功能尚待线上服务器同步；线下预览可用，不代表安装新版后线上立即具备这些能力。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1 居民申请加入小区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1．居民用本人手机号注册账号，设置至少6位的密码，可全部为数字，不强制字母或符号。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2．注册进入首页后搜索小区名称。结果自动提示已登记的省市区与所属物业；同名小区应结合地址确认。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3．填写姓名、住户身份等资料，从后台已有房屋中选择楼栋、单元和房号，提交给物业审核。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4．居民查看审核进度；驳回时按原因修改重提，通过后才使用相应房屋的社区服务。物业先建好房屋，居民才有正确的房号可选。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2 闲置物品发布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新版居民端首页 → “二手闲置” → “＋ 发布”。先添加产品图片，再填写物品名称、分类、价格、描述和联系电话，确认电话展示范围后提交。免费赠送可填0元，价格最多两位小数；图片最多3张。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物品提交后为待审核，其他居民暂时看不到。物业经理、管理员或前台客服在“二手物品审核”查看图片、描述、价格和联系方式，决定通过或驳回；驳回应写明原因。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通过后才向本小区已认证居民展示。发布人修改内容后重新审核，可主动下架或标记已售出；物业可按权限下架不合适的内容。闲置模块用于发布信息和邻里联系，不提供担保交易或资金结算。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3 小程序账单与支付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居民能看到与已认证房屋对应、已经下发的账单。物业登记实际收款后，居民端使用同一账单状态。若用户说“付过了”，工作人员仍需核对到账及凭证，不能只根据口头说明标记已缴。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微信支付配置目前为预留接入，保存AppID、商户号等参数不会自动启用扣款。真实支付应在正式接入并验收后另行告知用户。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4 门禁车闸和第三方设备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系统提供门禁、车闸、水费及本地网关等配置入口。原厂私有协议需要匹配适配服务；配置保存成功不代表设备已连通或可远程控制。未完成接入验收前，不把这些入口当作真实开门、抬杆或自动抄表功能。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br w:type="page"/>
      </w:r>
    </w:p>
    <w:p>
      <w:pPr>
        <w:pStyle w:val="Heading1"/>
        <w:snapToGrid w:val="0"/>
      </w:pPr>
      <w:r>
        <w:rPr>
          <w:rFonts w:ascii="Arial Unicode MS" w:hAnsi="Arial Unicode MS" w:eastAsia="Arial Unicode MS" w:cs="Arial Unicode MS"/>
        </w:rPr>
        <w:t>七 网络提示与常见问题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1 正常办公无需关注数据来源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登录后只使用业务后台，不选择“本地”或“云端”，不设置离线查阅密码，也不点击手动同步。客户端在运行且登录有效时，自动保留当前权限范围内的加密本地副本；关闭程序后不会继续后台同步。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本机业务保存成功后自动触发更新，其他设备变更约每5秒检查一次，实际完成时间受网络和数据量影响。业务是否办理成功，应看对应业务的成功提示和记录，不以本地文件或等待时间代替核对。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2 遇到网络已断开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1．停止重复点击提交，检查电脑的有线网络或Wi-Fi是否正常。系统只显示“网络已断开”及恢复提示，无需选择其他数据模式。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2．网络恢复后，客户端自动继续。已经加载的页面通常保留；如果登录已经过期，则按提示重新登录。首次启动时未能加载页面，会在恢复后自动进入登录页。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3．如断网前正在提交收款、审核或报修操作，先查询最新记录和状态，再继续办理。尚未成功提交的内容不能当作已保存。</w:t>
      </w: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3 常见问题速查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6917"/>
      </w:tblGrid>
      <w:tr>
        <w:trPr>
          <w:tblHeader/>
          <w:cantSplit/>
        </w:trPr>
        <w:tc>
          <w:tcPr>
            <w:tcW w:type="dxa" w:w="260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FF3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/>
                <w:sz w:val="19"/>
              </w:rPr>
              <w:t>遇到的情况</w:t>
            </w:r>
          </w:p>
        </w:tc>
        <w:tc>
          <w:tcPr>
            <w:tcW w:type="dxa" w:w="69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FF3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/>
                <w:sz w:val="19"/>
              </w:rPr>
              <w:t>处理方式</w:t>
            </w:r>
          </w:p>
        </w:tc>
      </w:tr>
      <w:tr>
        <w:trPr>
          <w:cantSplit/>
        </w:trPr>
        <w:tc>
          <w:tcPr>
            <w:tcW w:type="dxa" w:w="260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账号密码不正确</w:t>
            </w:r>
          </w:p>
        </w:tc>
        <w:tc>
          <w:tcPr>
            <w:tcW w:type="dxa" w:w="69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核对账号和输入法，忘记密码联系管理员重置；不要反复尝试他人的账号。</w:t>
            </w:r>
          </w:p>
        </w:tc>
      </w:tr>
      <w:tr>
        <w:trPr>
          <w:cantSplit/>
        </w:trPr>
        <w:tc>
          <w:tcPr>
            <w:tcW w:type="dxa" w:w="260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没有某项功能菜单</w:t>
            </w:r>
          </w:p>
        </w:tc>
        <w:tc>
          <w:tcPr>
            <w:tcW w:type="dxa" w:w="69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检查当前角色、小区及公司授权；联系管理员确认开通范围。</w:t>
            </w:r>
          </w:p>
        </w:tc>
      </w:tr>
      <w:tr>
        <w:trPr>
          <w:cantSplit/>
        </w:trPr>
        <w:tc>
          <w:tcPr>
            <w:tcW w:type="dxa" w:w="260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住户搜不到房号</w:t>
            </w:r>
          </w:p>
        </w:tc>
        <w:tc>
          <w:tcPr>
            <w:tcW w:type="dxa" w:w="69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先核对所属小区，再检查后台是否已建立楼栋、单元和房号。</w:t>
            </w:r>
          </w:p>
        </w:tc>
      </w:tr>
      <w:tr>
        <w:trPr>
          <w:cantSplit/>
        </w:trPr>
        <w:tc>
          <w:tcPr>
            <w:tcW w:type="dxa" w:w="260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居民看不到账单</w:t>
            </w:r>
          </w:p>
        </w:tc>
        <w:tc>
          <w:tcPr>
            <w:tcW w:type="dxa" w:w="69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核对住户认证、对应房屋、账单下发状态；“已读”不等于“已缴”。</w:t>
            </w:r>
          </w:p>
        </w:tc>
      </w:tr>
      <w:tr>
        <w:trPr>
          <w:cantSplit/>
        </w:trPr>
        <w:tc>
          <w:tcPr>
            <w:tcW w:type="dxa" w:w="260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收款提交后没有结果</w:t>
            </w:r>
          </w:p>
        </w:tc>
        <w:tc>
          <w:tcPr>
            <w:tcW w:type="dxa" w:w="69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联网后查询缴费记录及凭证，确认是否已写入，避免重复登记。</w:t>
            </w:r>
          </w:p>
        </w:tc>
      </w:tr>
      <w:tr>
        <w:trPr>
          <w:cantSplit/>
        </w:trPr>
        <w:tc>
          <w:tcPr>
            <w:tcW w:type="dxa" w:w="260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服务暂时无法连接</w:t>
            </w:r>
          </w:p>
        </w:tc>
        <w:tc>
          <w:tcPr>
            <w:tcW w:type="dxa" w:w="69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等待自动重试；持续出现时向维护人员提供时间和错误提示。</w:t>
            </w:r>
          </w:p>
        </w:tc>
      </w:tr>
      <w:tr>
        <w:trPr>
          <w:cantSplit/>
        </w:trPr>
        <w:tc>
          <w:tcPr>
            <w:tcW w:type="dxa" w:w="260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更新客户端后仍无新功能</w:t>
            </w:r>
          </w:p>
        </w:tc>
        <w:tc>
          <w:tcPr>
            <w:tcW w:type="dxa" w:w="69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0" w:lineRule="exact"/>
              <w:snapToGrid w:val="0"/>
            </w:pPr>
            <w:r>
              <w:rPr>
                <w:rFonts w:ascii="Arial Unicode MS" w:hAnsi="Arial Unicode MS" w:eastAsia="Arial Unicode MS" w:cs="Arial Unicode MS"/>
                <w:b w:val="0"/>
                <w:sz w:val="19"/>
              </w:rPr>
              <w:t>核对服务器是否已部署对应功能；客户端和服务端需配套。</w:t>
            </w:r>
          </w:p>
        </w:tc>
      </w:tr>
    </w:tbl>
    <w:p>
      <w:pPr>
        <w:snapToGrid w:val="0"/>
      </w:pPr>
    </w:p>
    <w:p>
      <w:pPr>
        <w:pStyle w:val="Heading2"/>
        <w:snapToGrid w:val="0"/>
      </w:pPr>
      <w:r>
        <w:rPr>
          <w:rFonts w:ascii="Arial Unicode MS" w:hAnsi="Arial Unicode MS" w:eastAsia="Arial Unicode MS" w:cs="Arial Unicode MS"/>
        </w:rPr>
        <w:t>4 向维护人员反馈问题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提供公司或小区名称、账号角色、出错时间、所在菜单、操作步骤和提示截图。收款问题再提供账单编号、金额及凭证编号。不要发送登录密码、完整密钥或其他住户无关资料。</w:t>
      </w:r>
    </w:p>
    <w:p>
      <w:pPr>
        <w:snapToGrid w:val="0"/>
      </w:pPr>
      <w:r>
        <w:rPr>
          <w:rFonts w:ascii="Arial Unicode MS" w:hAnsi="Arial Unicode MS" w:eastAsia="Arial Unicode MS" w:cs="Arial Unicode MS"/>
        </w:rPr>
        <w:t>说明书依据电脑端1.1.0及当前功能代码编写。正式使用时以已部署版本、账号权限和实际业务记录为准；Windows安装、打印及单位网络环境需在实际电脑完成验收。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snapToGrid w:val="0"/>
    </w:pPr>
    <w:r>
      <w:rPr>
        <w:rFonts w:ascii="Arial Unicode MS" w:hAnsi="Arial Unicode MS" w:eastAsia="Arial Unicode MS" w:cs="Arial Unicode MS"/>
        <w:sz w:val="18"/>
      </w:rPr>
      <w:t xml:space="preserve">电脑端 1.1.0   ·   第 </w:t>
    </w:r>
    <w:fldSimple w:instr="PAGE"/>
    <w:r>
      <w:rPr>
        <w:rFonts w:ascii="Arial Unicode MS" w:hAnsi="Arial Unicode MS" w:eastAsia="Arial Unicode MS" w:cs="Arial Unicode MS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napToGrid w:val="0"/>
    </w:pPr>
    <w:r>
      <w:rPr>
        <w:rFonts w:ascii="Arial Unicode MS" w:hAnsi="Arial Unicode MS" w:eastAsia="Arial Unicode MS" w:cs="Arial Unicode MS"/>
        <w:sz w:val="18"/>
      </w:rPr>
      <w:t>物业管理系统  |  电脑端使用说明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20" w:lineRule="exact" w:after="120" w:before="0"/>
    </w:pPr>
    <w:rPr>
      <w:rFonts w:ascii="Arial Unicode MS" w:hAnsi="Arial Unicode MS" w:eastAsia="Arial Unicode MS" w:cs="Arial Unicode M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 Unicode MS" w:hAnsi="Arial Unicode MS" w:eastAsia="Arial Unicode MS" w:cs="Arial Unicode MS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 Unicode MS" w:hAnsi="Arial Unicode MS" w:eastAsia="Arial Unicode MS" w:cs="Arial Unicode MS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 Unicode MS" w:hAnsi="Arial Unicode MS" w:eastAsia="Arial Unicode MS" w:cs="Arial Unicode MS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 Unicode MS" w:hAnsi="Arial Unicode MS" w:eastAsia="Arial Unicode MS" w:cs="Arial Unicode M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500" w:lineRule="exact"/>
      <w:outlineLvl w:val="0"/>
    </w:pPr>
    <w:rPr>
      <w:rFonts w:ascii="Arial Unicode MS" w:hAnsi="Arial Unicode MS" w:eastAsia="Arial Unicode MS" w:cs="Arial Unicode MS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390" w:lineRule="exact"/>
      <w:outlineLvl w:val="1"/>
    </w:pPr>
    <w:rPr>
      <w:rFonts w:ascii="Arial Unicode MS" w:hAnsi="Arial Unicode MS" w:eastAsia="Arial Unicode MS" w:cs="Arial Unicode M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="360" w:lineRule="exact"/>
      <w:outlineLvl w:val="2"/>
    </w:pPr>
    <w:rPr>
      <w:rFonts w:ascii="Arial Unicode MS" w:hAnsi="Arial Unicode MS" w:eastAsia="Arial Unicode MS" w:cs="Arial Unicode M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 Unicode MS" w:hAnsi="Arial Unicode MS" w:eastAsia="Arial Unicode MS" w:cs="Arial Unicode M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 Unicode MS" w:hAnsi="Arial Unicode MS" w:eastAsia="Arial Unicode MS" w:cs="Arial Unicode M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 Unicode MS" w:hAnsi="Arial Unicode MS" w:eastAsia="Arial Unicode MS" w:cs="Arial Unicode M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 Unicode MS" w:hAnsi="Arial Unicode MS" w:eastAsia="Arial Unicode MS" w:cs="Arial Unicode M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 Unicode MS" w:hAnsi="Arial Unicode MS" w:eastAsia="Arial Unicode MS" w:cs="Arial Unicode M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 Unicode MS" w:hAnsi="Arial Unicode MS" w:eastAsia="Arial Unicode MS" w:cs="Arial Unicode M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 Unicode MS" w:hAnsi="Arial Unicode MS" w:eastAsia="Arial Unicode MS" w:cs="Arial Unicode MS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 Unicode MS" w:hAnsi="Arial Unicode MS" w:eastAsia="Arial Unicode MS" w:cs="Arial Unicode M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 Unicode MS" w:hAnsi="Arial Unicode MS" w:eastAsia="Arial Unicode MS" w:cs="Arial Unicode M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 Unicode MS" w:hAnsi="Arial Unicode MS" w:eastAsia="Arial Unicode MS" w:cs="Arial Unicode M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 Unicode MS" w:hAnsi="Arial Unicode MS" w:eastAsia="Arial Unicode MS" w:cs="Arial Unicode M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660" w:lineRule="exact" w:before="0"/>
      <w:contextualSpacing/>
    </w:pPr>
    <w:rPr>
      <w:rFonts w:ascii="Arial Unicode MS" w:hAnsi="Arial Unicode MS" w:eastAsia="Arial Unicode MS" w:cs="Arial Unicode MS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 Unicode MS" w:hAnsi="Arial Unicode MS" w:eastAsia="Arial Unicode MS" w:cs="Arial Unicode M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360" w:lineRule="exact" w:after="120" w:before="0"/>
    </w:pPr>
    <w:rPr>
      <w:rFonts w:ascii="Arial Unicode MS" w:hAnsi="Arial Unicode MS" w:eastAsia="Arial Unicode MS" w:cs="Arial Unicode MS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 Unicode MS" w:hAnsi="Arial Unicode MS" w:eastAsia="Arial Unicode MS" w:cs="Arial Unicode M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 Unicode MS" w:hAnsi="Arial Unicode MS" w:eastAsia="Arial Unicode MS" w:cs="Arial Unicode MS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 Unicode MS" w:hAnsi="Arial Unicode MS" w:eastAsia="Arial Unicode MS" w:cs="Arial Unicode MS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 Unicode MS" w:hAnsi="Arial Unicode MS" w:eastAsia="Arial Unicode MS" w:cs="Arial Unicode MS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 Unicode MS" w:hAnsi="Arial Unicode MS" w:eastAsia="Arial Unicode MS" w:cs="Arial Unicode MS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 Unicode MS" w:hAnsi="Arial Unicode MS" w:eastAsia="Arial Unicode MS" w:cs="Arial Unicode MS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 Unicode MS" w:hAnsi="Arial Unicode MS" w:eastAsia="Arial Unicode MS" w:cs="Arial Unicode MS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 Unicode MS" w:hAnsi="Arial Unicode MS" w:eastAsia="Arial Unicode MS" w:cs="Arial Unicode MS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 Unicode MS" w:hAnsi="Arial Unicode MS" w:eastAsia="Arial Unicode MS" w:cs="Arial Unicode MS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 Unicode MS" w:hAnsi="Arial Unicode MS" w:eastAsia="Arial Unicode MS" w:cs="Arial Unicode MS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 Unicode MS" w:hAnsi="Arial Unicode MS" w:eastAsia="Arial Unicode MS" w:cs="Arial Unicode MS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20" w:lineRule="exact" w:after="120" w:before="0"/>
      <w:contextualSpacing/>
    </w:pPr>
    <w:rPr>
      <w:rFonts w:ascii="Arial Unicode MS" w:hAnsi="Arial Unicode MS" w:eastAsia="Arial Unicode MS" w:cs="Arial Unicode MS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 Unicode MS" w:hAnsi="Arial Unicode MS" w:eastAsia="Arial Unicode MS" w:cs="Arial Unicode MS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 Unicode MS" w:hAnsi="Arial Unicode MS" w:eastAsia="Arial Unicode MS" w:cs="Arial Unicode MS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20" w:lineRule="exact" w:after="120" w:before="0"/>
      <w:contextualSpacing/>
    </w:pPr>
    <w:rPr>
      <w:rFonts w:ascii="Arial Unicode MS" w:hAnsi="Arial Unicode MS" w:eastAsia="Arial Unicode MS" w:cs="Arial Unicode MS"/>
      <w:color w:val="000000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 Unicode MS" w:hAnsi="Arial Unicode MS" w:eastAsia="Arial Unicode MS" w:cs="Arial Unicode MS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 Unicode MS" w:hAnsi="Arial Unicode MS" w:eastAsia="Arial Unicode MS" w:cs="Arial Unicode MS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 Unicode MS" w:hAnsi="Arial Unicode MS" w:eastAsia="Arial Unicode MS" w:cs="Arial Unicode MS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 Unicode MS" w:hAnsi="Arial Unicode MS" w:eastAsia="Arial Unicode MS" w:cs="Arial Unicode MS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 Unicode MS" w:hAnsi="Arial Unicode MS" w:eastAsia="Arial Unicode MS" w:cs="Arial Unicode MS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 Unicode MS" w:hAnsi="Arial Unicode MS" w:eastAsia="Arial Unicode MS" w:cs="Arial Unicode M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 Unicode MS" w:hAnsi="Arial Unicode MS" w:eastAsia="Arial Unicode MS" w:cs="Arial Unicode M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 Unicode MS" w:hAnsi="Arial Unicode MS" w:eastAsia="Arial Unicode MS" w:cs="Arial Unicode MS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 Unicode MS" w:hAnsi="Arial Unicode MS" w:eastAsia="Arial Unicode MS" w:cs="Arial Unicode MS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 Unicode MS" w:hAnsi="Arial Unicode MS" w:eastAsia="Arial Unicode MS" w:cs="Arial Unicode M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 Unicode MS" w:hAnsi="Arial Unicode MS" w:eastAsia="Arial Unicode MS" w:cs="Arial Unicode M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 Unicode MS" w:hAnsi="Arial Unicode MS" w:eastAsia="Arial Unicode MS" w:cs="Arial Unicode M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 Unicode MS" w:hAnsi="Arial Unicode MS" w:eastAsia="Arial Unicode MS" w:cs="Arial Unicode M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 Unicode MS" w:hAnsi="Arial Unicode MS" w:eastAsia="Arial Unicode MS" w:cs="Arial Unicode M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 Unicode MS" w:hAnsi="Arial Unicode MS" w:eastAsia="Arial Unicode MS" w:cs="Arial Unicode M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 Unicode MS" w:hAnsi="Arial Unicode MS" w:eastAsia="Arial Unicode MS" w:cs="Arial Unicode MS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 Unicode MS" w:hAnsi="Arial Unicode MS" w:eastAsia="Arial Unicode MS" w:cs="Arial Unicode MS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 Unicode MS" w:hAnsi="Arial Unicode MS" w:eastAsia="Arial Unicode MS" w:cs="Arial Unicode MS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 Unicode MS" w:hAnsi="Arial Unicode MS" w:eastAsia="Arial Unicode MS" w:cs="Arial Unicode MS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 Unicode MS" w:hAnsi="Arial Unicode MS" w:eastAsia="Arial Unicode MS" w:cs="Arial Unicode MS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 Unicode MS" w:hAnsi="Arial Unicode MS" w:eastAsia="Arial Unicode MS" w:cs="Arial Unicode MS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 Unicode MS" w:hAnsi="Arial Unicode MS" w:eastAsia="Arial Unicode MS" w:cs="Arial Unicode MS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 Unicode MS" w:hAnsi="Arial Unicode MS" w:eastAsia="Arial Unicode MS" w:cs="Arial Unicode MS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 Unicode MS" w:hAnsi="Arial Unicode MS" w:eastAsia="Arial Unicode MS" w:cs="Arial Unicode MS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 Unicode MS" w:hAnsi="Arial Unicode MS" w:eastAsia="Arial Unicode MS" w:cs="Arial Unicode MS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 Unicode MS" w:hAnsi="Arial Unicode MS" w:eastAsia="Arial Unicode MS" w:cs="Arial Unicode MS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物业管理系统使用说明书</dc:title>
  <dc:subject>物业公司与小区管理人员电脑端操作指南</dc:subject>
  <dc:creator>纳能云</dc:creator>
  <cp:keywords>物业管理 电脑端 1.1.0 使用说明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